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Bis vor Kurzem war Anna Hermann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 xml:space="preserve">die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lteste noch lebende Arkederin. Seit 1990 lebte sie zusammen mit ihrem Sohn Arnold (Noldi) in Tittmoning, wo sich Jahre davor schon die meisten Familienangeh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rigen niedergelassen hatten.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Auf traurige Weise spiegelt Annas Leben die dunkelste Seite in der Geschichte der Siebenb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rger Sachsen wieder. Geboren am 28. April 1917, w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hrend des 1. Weltkrieges, verlor die junge Ehefrau und Mutter 1944 ihren Mann im 2. Weltkrieg an der Kriegsfront. Seinen j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 xml:space="preserve">ngeren Sohn Arnold, Noldi genannt, hatte er nur einmal gesehen, als er zu dessen Taufe Fronturlaub erhielt. </w:t>
      </w: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Die beiden Br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der Johann und Arnold blieben 1945 auch ohne Mutter zur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ck, weil diese zur Zwangsarbeit deportiert worden war. Vier Jahre lang, bis zu ihrer 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ckkehr, lebten sie bei ihrer Gro</w:t>
      </w:r>
      <w:r>
        <w:rPr>
          <w:rFonts w:ascii="Arial Unicode MS" w:cs="Arial Unicode MS" w:hAnsi="Helvetica" w:eastAsia="Arial Unicode MS" w:hint="default"/>
          <w:rtl w:val="0"/>
        </w:rPr>
        <w:t>ß</w:t>
      </w:r>
      <w:r>
        <w:rPr>
          <w:rFonts w:ascii="Helvetica" w:cs="Arial Unicode MS" w:hAnsi="Arial Unicode MS" w:eastAsia="Arial Unicode MS"/>
          <w:rtl w:val="0"/>
        </w:rPr>
        <w:t>mutter.</w:t>
      </w: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Vom Hof "an der Br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cke" im Gesken zog die Familie auf den Hof Nr. 168 in der Hintergasse. Mit Sohn Noldi teilten sie sich die Arbeit und hielten bis zuletzt zusammen. Er erf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llte der Mutter auch den Wunsch, zu Hause alt werden zu d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 xml:space="preserve">rfen und zu sterben. Lediglich die letzten drei Wochen verbrachte sie in einem Altersheim.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Den Hinterbliebenen, ganz besonders den S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hnen Noldi und Johann, sprechen wir unser aufrichtiges Mitgef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hl aus. M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ge Anna Hermann ewige Ruhe finden.</w:t>
      </w: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